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page" w:tblpX="469" w:tblpY="1162"/>
        <w:tblOverlap w:val="never"/>
        <w:tblW w:w="11214" w:type="dxa"/>
        <w:tblLayout w:type="fixed"/>
        <w:tblLook w:val="04A0" w:firstRow="1" w:lastRow="0" w:firstColumn="1" w:lastColumn="0" w:noHBand="0" w:noVBand="1"/>
      </w:tblPr>
      <w:tblGrid>
        <w:gridCol w:w="745"/>
        <w:gridCol w:w="3586"/>
        <w:gridCol w:w="3131"/>
        <w:gridCol w:w="511"/>
        <w:gridCol w:w="745"/>
        <w:gridCol w:w="882"/>
        <w:gridCol w:w="1614"/>
      </w:tblGrid>
      <w:tr w:rsidR="00047E0A" w:rsidRPr="00047E0A" w:rsidTr="00317DAA">
        <w:trPr>
          <w:trHeight w:val="1404"/>
        </w:trPr>
        <w:tc>
          <w:tcPr>
            <w:tcW w:w="745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序号</w:t>
            </w:r>
          </w:p>
        </w:tc>
        <w:tc>
          <w:tcPr>
            <w:tcW w:w="3586" w:type="dxa"/>
            <w:tcBorders>
              <w:top w:val="single" w:sz="12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材料名称</w:t>
            </w:r>
          </w:p>
        </w:tc>
        <w:tc>
          <w:tcPr>
            <w:tcW w:w="3131" w:type="dxa"/>
            <w:tcBorders>
              <w:top w:val="single" w:sz="12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规格型号、技术要求</w:t>
            </w:r>
          </w:p>
        </w:tc>
        <w:tc>
          <w:tcPr>
            <w:tcW w:w="511" w:type="dxa"/>
            <w:tcBorders>
              <w:top w:val="single" w:sz="12" w:space="0" w:color="000000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单位</w:t>
            </w:r>
          </w:p>
        </w:tc>
        <w:tc>
          <w:tcPr>
            <w:tcW w:w="745" w:type="dxa"/>
            <w:tcBorders>
              <w:top w:val="single" w:sz="12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计划数量</w:t>
            </w:r>
          </w:p>
        </w:tc>
        <w:tc>
          <w:tcPr>
            <w:tcW w:w="882" w:type="dxa"/>
            <w:tcBorders>
              <w:top w:val="single" w:sz="12" w:space="0" w:color="000000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品牌、供应单位及报价（元）</w:t>
            </w:r>
          </w:p>
        </w:tc>
        <w:tc>
          <w:tcPr>
            <w:tcW w:w="1614" w:type="dxa"/>
            <w:tcBorders>
              <w:top w:val="single" w:sz="12" w:space="0" w:color="000000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24"/>
                <w:szCs w:val="24"/>
                <w:lang w:bidi="ar"/>
              </w:rPr>
              <w:t>备注</w:t>
            </w:r>
          </w:p>
        </w:tc>
      </w:tr>
      <w:tr w:rsidR="00047E0A" w:rsidRPr="00047E0A" w:rsidTr="00317DAA">
        <w:trPr>
          <w:trHeight w:val="1455"/>
        </w:trPr>
        <w:tc>
          <w:tcPr>
            <w:tcW w:w="11214" w:type="dxa"/>
            <w:gridSpan w:val="7"/>
            <w:tcBorders>
              <w:top w:val="nil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numPr>
                <w:ilvl w:val="0"/>
                <w:numId w:val="2"/>
              </w:numPr>
              <w:rPr>
                <w:rFonts w:ascii="Times New Roman" w:eastAsia="宋体" w:hAnsi="宋体" w:cs="Times New Roman"/>
                <w:bCs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Times New Roman" w:eastAsia="宋体" w:hAnsi="宋体" w:cs="Times New Roman" w:hint="eastAsia"/>
                <w:bCs/>
                <w:snapToGrid w:val="0"/>
                <w:kern w:val="0"/>
                <w:sz w:val="24"/>
                <w:szCs w:val="24"/>
              </w:rPr>
              <w:t>国内一线元器件品牌：常熟、上联、良信、莱福士、北元等品牌</w:t>
            </w:r>
          </w:p>
          <w:p w:rsidR="00047E0A" w:rsidRPr="00047E0A" w:rsidRDefault="00047E0A" w:rsidP="00047E0A">
            <w:pPr>
              <w:numPr>
                <w:ilvl w:val="0"/>
                <w:numId w:val="2"/>
              </w:numPr>
              <w:rPr>
                <w:rFonts w:ascii="Times New Roman" w:eastAsia="宋体" w:hAnsi="宋体" w:cs="Times New Roman"/>
                <w:bCs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Times New Roman" w:eastAsia="宋体" w:hAnsi="宋体" w:cs="Times New Roman" w:hint="eastAsia"/>
                <w:bCs/>
                <w:snapToGrid w:val="0"/>
                <w:kern w:val="0"/>
                <w:sz w:val="24"/>
                <w:szCs w:val="24"/>
              </w:rPr>
              <w:t>付款方式：货到现场支付</w:t>
            </w:r>
            <w:r w:rsidRPr="00047E0A">
              <w:rPr>
                <w:rFonts w:ascii="Times New Roman" w:eastAsia="宋体" w:hAnsi="宋体" w:cs="Times New Roman" w:hint="eastAsia"/>
                <w:bCs/>
                <w:snapToGrid w:val="0"/>
                <w:kern w:val="0"/>
                <w:sz w:val="24"/>
                <w:szCs w:val="24"/>
              </w:rPr>
              <w:t>70%</w:t>
            </w:r>
            <w:r w:rsidRPr="00047E0A">
              <w:rPr>
                <w:rFonts w:ascii="Times New Roman" w:eastAsia="宋体" w:hAnsi="宋体" w:cs="Times New Roman" w:hint="eastAsia"/>
                <w:bCs/>
                <w:snapToGrid w:val="0"/>
                <w:kern w:val="0"/>
                <w:sz w:val="24"/>
                <w:szCs w:val="24"/>
              </w:rPr>
              <w:t>货款</w:t>
            </w:r>
          </w:p>
        </w:tc>
      </w:tr>
      <w:tr w:rsidR="00047E0A" w:rsidRPr="00047E0A" w:rsidTr="00317DAA">
        <w:trPr>
          <w:trHeight w:val="1455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35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(02)APEB201</w:t>
            </w:r>
          </w:p>
        </w:tc>
        <w:tc>
          <w:tcPr>
            <w:tcW w:w="3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1.名称：配电箱 (02)APEB201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nil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47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(01)APEB201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1.名称：配电箱 (01)APEB201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(03)APEB201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1.名称：配电箱 (03)APEB201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(01)APB201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(01)APB201</w:t>
            </w:r>
          </w:p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snapToGrid w:val="0"/>
              <w:spacing w:line="240" w:lineRule="atLeast"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snapToGrid w:val="0"/>
              <w:spacing w:line="240" w:lineRule="atLeast"/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snapToGrid w:val="0"/>
              <w:spacing w:line="240" w:lineRule="atLeast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风机控制箱(01)APB202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(01)APB202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6AP021-LED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6AP021-LED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4.安装方式：挂墙安装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2AP011-LED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2AP011-LED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4.安装方式：挂墙安装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363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冻库照明配电箱 (04)APB1a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1.名称：冻库照明配电箱 (04)APB1a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4.安装方式:挂墙安装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363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(01)APB2QSB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(01)APB2QSB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风机配电箱(04)AAB1a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1.名称:风机配电箱(04)AAB1a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风机配电箱(05)AAB101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1.名称：风机配电箱(05)AAB101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风机配电箱(05)AAB102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1.名称：风机配电箱(05)AAB102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风机配电箱(01)AAB101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1.名称：风机配电箱(01)AAB101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风机配电箱(01)APB101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1.名称：风机配电箱(01)APB101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</w:t>
            </w:r>
          </w:p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(06)APB1a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风机配电箱(06)APB1a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风机配电箱(06)APB101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1.名称:风机配电箱(06)APB101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lastRenderedPageBreak/>
              <w:t>17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风机配电箱(06)APB102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1.名称:风机配电箱(06)APB102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风机配电箱(06)APB103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1.名称:风机配电箱(06)APB103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风机配电箱(05)APB102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1.名称:风机配电箱(05)APB102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</w:t>
            </w:r>
          </w:p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(02)APB1a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1.名称:风机配电箱(02)APB1a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风机配电箱(01)APB103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1.名称:风机配电箱(01)APB103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22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风机配电箱(03)APB102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1.名称:风机配电箱(03)APB102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风机配电箱(03)APB101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1.名称:风机配电箱(03)APB101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24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风机配电箱(05)APB101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1.名称：风机配电箱(05)APB101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风机配电箱(01)APEB101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风机配电箱(01)APEB101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风机配电箱(06)APEB101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1.名称：风机配电箱(06)APEB101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风机配电箱(04)APEB101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1.名称：风机配电箱(04)APEB101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lastRenderedPageBreak/>
              <w:t>28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风机配电箱(02)APEB101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1.名称：风机配电箱(02)APEB101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47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29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风机配电箱 (03)APEB101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1.名称：风机配电箱(03)APEB101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30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充电桩配电箱(06)APB1CD1、2、3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充电桩配电箱(06)APB1CD1、2、3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31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弱电配电箱(05)APTB1ard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1.名称:弱电配电箱(05)APTB1ard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32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热水机组配电箱(01)APB1shrr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1.名称:热水机组配电箱(01)APB1shrr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33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热水机组配电箱 (01)APB1gl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1.名称:热水机组配电箱(01)APB1gl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34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变频给水设备配电箱(01)APTB1shb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1.名称:变频给水设备配电箱(01)APTB1shb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风机控制箱(06)APB104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1.名称:风机控制箱(06)APB104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2.型号:XLL2,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照明配电箱(02)ALB1b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名称:照明配电箱(02)ALB1b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2.规格：详附件箱体分项表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照明配电箱(02)ALB1a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(02)ALB1a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扶梯配电箱(02)APB1ft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1.名称:扶梯配电箱(02)APB1ft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电梯配电箱(05)APB1dta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1.名称:电梯配电箱(05)APB1dta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照明配电箱(05)APB101,102,103,104rd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4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名称:照明配电箱(05)APB101,102,103,104rd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风机控制箱(02)AAB201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1.名称:风机控制箱(02)AAB201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动力配电箱 1AP01af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1.名称:动力配电箱(01)AAB101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43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照明配电箱(03)ALB2a/2b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1.名称:照明配电箱(03)ALB2a/2b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(03)APB103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(03)APB103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MR室配电箱 1APT01-MR11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1.名称:MR室配电箱 1APT01-MR11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MR室配电箱 1APT01-MR21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MR室配电箱 1APT01-MR21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CT室配电箱 1AP01-CT1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1.名称:CT室配电箱1AP01-CT1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2.规格：详附件箱体分项表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48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DR室配电箱1AP01-DRa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1.名称:DR室配电箱 1AP01-DRa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49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DR室配电箱 3AP01-DR11~3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1.名称:DR室配电箱3AP01-DR11~3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2.规格：详附件箱体分项表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DR室配电箱 2APDR051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1.名称:DR室配电箱 2APDR051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1AL011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风机控制箱1AA011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1.名称:风机控制箱1AA011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风机控制箱1AP011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1AP011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1AA012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1AA012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3ALT012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3ALT011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3AA011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挡烟垂壁配电箱 1APE01a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1.名称:挡烟垂壁配电箱 1APE01a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59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消控室配电箱 1APE01xks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1.名称:消控室配电 1APE01xks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60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应急照明配电箱(04)ALEB1a/1b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1.名称:应急照明配电箱(04)ALEB1a/1b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1AL021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扶梯配电箱 4AP01FTA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1.名称:扶梯配电箱4AP01FTA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2.规格：详附件箱体分项表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63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4AP01dt 1AP04dt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4AP01dt 1AP04dt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5AL011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6AL011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6AL041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3.规格：详附件箱体分项表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2AP102dt1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2AP102dt1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1AA021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1AA021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69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3AA021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3AA022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3ALT012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71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5AA021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5AA021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6AA021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6AA021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1AA02a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1AA02a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3AA02a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3AA02a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5AA02a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5AA02a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76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6AA02a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6AA02a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扶梯配电箱 4AP02fta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1.名称:扶梯配电箱 4AP02fta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扶梯配电箱 4AP02ft 4AP03ft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1.名称:扶梯配电箱 4AP02ft 4AP03ft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79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1AP021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1AP021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5AA031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5AA031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82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6AA031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6AA031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3AA031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1AA031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1AA031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挡烟垂壁配电箱 2APE09a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1.名称：挡烟垂壁配电箱  2APE09a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86</w:t>
            </w:r>
          </w:p>
        </w:tc>
        <w:tc>
          <w:tcPr>
            <w:tcW w:w="358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挡烟垂壁配电箱 2APE12a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1.名称：挡烟垂壁配电箱 2APE12a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挡烟垂壁配电箱 2APE15a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1.名称：挡烟垂壁配电箱  2APE15a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1AP023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1AP023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89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1AA04a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1AA04a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1APE04dt,3APE04dt,5APE04dt,6APE04dt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1.名称:电梯配电箱1、3、5、6APE04dt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1AA041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1AA041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1AA042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1AA042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93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精密空调内机配电箱 2AAT041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1.名称:精密空调内机配电箱 2AAT041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4AL01a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4AL01a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3AA041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3AA042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3AA042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3AA043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3AA043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3AP04wlxc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3AP04wlxc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99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04AP04dt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04AP04dt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single" w:sz="4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1.名称:照明配电箱 1AL041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ICU室配电箱 2ALT04ICU1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1.名称:ICU室配电箱 2ALT04ICU1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ICU室配电箱 2ALT04NICU1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1.名称:ICU室配电箱 2ALT04NICU1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5AA041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5AA041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104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5AP04dt 6AP04dt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5AP04dt 6AP04dt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6AA041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风机控制箱 6AA041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5APE04a 5APE04b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5APE04a 5APE04b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空调配电箱 3AA04a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1.名称:空调配电箱 3AA04a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空调配电箱 6AARFa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1.名称:空调配电箱 6AARFa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109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APzjsk02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APzjsk02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APzjsk01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APzjsk01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5APERF1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5APERF1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5APERF2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5APERF2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3.规格:详附件箱体分项表 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 5APERF3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5APERF3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5APRF1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5APRF1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115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5APRF2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5APRF2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6APERF1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6APERF1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6APERF2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 风机控制箱 6APERF2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6APERF3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6APERF3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119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1APERF1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1APERF1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3APERF1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3APERF1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2AA051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2AA051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2AA052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2AA052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5APE01a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5APE01a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4APE01a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4APE01a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1APE01a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1APE01a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126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3APE01a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3APE01a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4APE041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4APE041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2APE05a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2APE05a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129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ZJX06a ZJX06b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1.名称:动力配电箱ZJX06a ZJX06b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2ALT062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2ALT062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2ALT063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2ALT063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CT室配电箱 2ALT07a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1.名称:CT室配电箱 2ALT07a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2AA061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2AA071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2AA071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2AA072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2AA072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2AL071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2AL071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137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2AA081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2AA081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2AA082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2AA082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139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2AL081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2AL081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2AL091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2AL091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2AL111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2AA11a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2AA11a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148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2AL121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149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2AL131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2AA122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2AA122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2AA132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2AA132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2AL081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2AA142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2AA142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2AL151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2AL151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158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2AA151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2AA151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159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2AA152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1.名称:风机控制箱 2AA152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2AA161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2AA162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2AA162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2AL061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2AL061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2AL161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2AL161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1.名称：风机控制箱 2APERF3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169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170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2APERF9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2APERF9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2APERFa 2APERFb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2APERFa 2APERFb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2APERFc 2APERFd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1.名称:动力配电箱 2APERFc 2APERFd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2APTRFdta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2APTRFdta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2APTRFdtb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2APTRFdtb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电梯配电箱 2APERFdta 2APERFdtb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1.名称:电梯配电箱 2APERFdta 2APERFdtb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178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稳压泵配电箱 2APERFwyb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1.名称:稳压泵配电箱 2APERFwyb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2.型号:JX3007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179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冷却塔配电箱 2APRFlqt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1.名称:冷却塔配电箱 2APRFlqt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6APRF1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lastRenderedPageBreak/>
              <w:t>181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6APRF2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2APRF1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2APRF1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2APRF2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2APRF2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2APRF3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2APRF3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2APRF4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2APRF4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2APRF5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2APRF5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2.型号：JX3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2APRFa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2APRFa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AAz01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AAz01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189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动力配电箱 AAz02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1.名称：动力配电箱 AAz02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电动阀配电箱 AAB2LD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1.名称：电动阀配电箱 AAB2LD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风机控制箱 6AP041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1.名称：风机控制箱 6AP041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lastRenderedPageBreak/>
              <w:t>192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车道照明配电箱 (01)ALB201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1.名称：车道照明配电箱 (01)ALB201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车道照明配电箱 (01)ALB202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1.名称:车道照明配电箱 (01)ALB202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车道照明配电箱 (02)ALB201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1.名称:车道照明配电箱 (02)ALB201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车道照明配电箱 (02)ALB202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1.名称:车道照明配电箱 (02)ALB202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</w:rPr>
              <w:t>196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应急照明配电箱 (01)ALEB1-ES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1.名称:应急照明配电箱 (01)ALEB1-ES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197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(03)ALB201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1.名称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: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照明配电箱 (03)ALB201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2.型号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: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3.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198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走道照明配电箱 (02)ALB101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1.名称：走道照明配电箱 (02)ALB101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199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走道照明配电箱 (05)ALB101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1.名称：走道照明配电箱 (05)ALB101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走道照明配电箱 (03)ALB101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1.名称：走道照明配电箱 (03)ALB101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走道照明配电箱 (03)ALB102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1.名称：走道照明配电箱 (03)ALB102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202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(01)ALB101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(01)ALB101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车道照明配电箱 (06)ALB101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1.名称：车道照明配电箱 (06)ALB101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2ALT05NICU11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5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2ALT05NICU11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医用隔离柜 3ALT011-1T1,1T2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医用隔离柜 3ALT011-1T1,1T2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医用隔离柜 15ALT012-1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医用隔离柜 15ALT012-1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2AL051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1.名称：照明配电2AL051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医用隔离柜 NICU-IT1~15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1.名称：医用隔离柜 NICU-IT1~15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15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209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医用隔离柜 NICU-IT16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1.名称：医用隔离柜NICU-IT16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医用隔离柜 NICU-IT17~18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1.名称：医用隔离柜 NICU-IT17~18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医用隔离柜 ICU-IT1~6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1.名称：医用隔离柜 ICU-IT1~6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</w:rPr>
              <w:t>6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医用隔离柜 ICU-IT7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1.名称：医用隔离柜 ICU-IT7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213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2ALT04NICU1-1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2ALT04NICU1-1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2ALT04ICU1-1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2ALT04ICU1-1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2.型号：XL-21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2ALT05ICU1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2ALT05ICU1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2AL061-1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1.名称：照明配电箱2AL061-1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2AL061-2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1.名称：照明配电箱2AL061-2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219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2AL061-3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1.名称：照明配电箱2AL061-3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2ALT062-1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2ALT062-1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2ALT062-2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2ALT062-2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2ALT062-3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2ALT062-3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 2ALT062-4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2ALT062-4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224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配电箱SS1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配电箱SS1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2ALT071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照明配电箱2ALT071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6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名称：照明配电箱 2AL071-1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2AL071-2~3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6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名称：照明配电箱 2AL071-2~3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229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2AL071-6、7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2AL071-6、7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2AL071-9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2AL071-9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9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2ALT081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235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2AL081-2,081-3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2AL081-2,081-3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239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2AL081-9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2AL081-9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2ALT091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2ALT091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2AL091-1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2AL091-1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349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2AL091-2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2AL091-2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246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2AL091-3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2AL091-3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2AL091-4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2AL091-4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2AL091-5~21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2AL091-5~21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17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249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2ALT101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2ALT101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9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2AL101-5~6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2AL101-5~6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257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2AL101-9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2AL101-9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2ALT111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2ALT111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259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2AL111-1~2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2AL111-1~2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2AL111-3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2AL111-3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7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2AL111-8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2ALT121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8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2ALT121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9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名称：照明配电箱 2AL121-1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268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269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2AL121-4~5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1.名称：照明配电箱2AL121-4~5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1.名称：照明配电箱2AL121-6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 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9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2AL121-10~12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2AL121-10~12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2ALT131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2ALT131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338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278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2AL131-2~3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2AL131-2~3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279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2AL131-4~5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2AL131-4~5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2AL131-7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2AL131-7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2AL131-8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2AL131-8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2AL131-9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2AL131-9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2AL131-10~12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2AL131-10~12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2ALT161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2ALT161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289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290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2AL161-6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2AL161-6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5ALT021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1AL011-1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1AL011-1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1AL011-2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1AL011-2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299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301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4AL022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4AL022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5AL011-2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5AL011-2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5AL011-3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5AL011-3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6AL011-2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1.名称：照明配电箱6AL011-2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3ALT012-1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1.名称：照明配电箱3ALT012-1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3ALT012-2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1.名称：照明配电箱3ALT012-2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3</w:t>
            </w: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08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4AL012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1.名称：照明配电箱4AL012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309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6ALT011-1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1.名称：照明配电箱6ALT011-1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6AL011-1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1.名称：照明配电箱6AL011-1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5AL011-4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1.名称：照明配电箱5AL011-4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312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4ALT011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1.名称：照明配电箱4ALT011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4ALT021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1.名称：照明配电箱4ALT021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1.名称：照明配电箱5AL021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1.名称：照明配电箱6ALT021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319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2AW011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1.名称：照明配电箱2AW011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3ALT012-3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1.名称：照明配电箱3ALT012-3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4ALT031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1.名称：照明配电箱4ALT031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6ALT031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323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5AL031-1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5AL031-1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5AL031-2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5AL031-2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 4AL031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78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照明配电箱  4AL032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10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名称：照明配电箱 4AL032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6APT032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6APT032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5AL031-3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5AL031-3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329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5AL011-1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5AL011-1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6APT031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6APT031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6ALT021-1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6ALT021-1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照明配电箱 3ALT011-1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1.名称：照明配电箱 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3ALT011-1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334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6AL031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1.名称：照明配电箱6AL031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2ALT041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2ALT041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339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5ALT041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5ALT041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4ALT041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4ALT041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6ALT042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6ALT042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6ALT041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6ALT041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1AL041-1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1AL041-1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1AL041-2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1AL041-2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345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1AL041-3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1AL041-3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3AL041-1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3AL041-1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3AL041-2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3AL041-2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照明配电箱 3AL041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1.名称：照明配电箱 3AL041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349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6AL041-2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6AL041-2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照明配电箱 3AL041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1.名称：照明配电箱 3AL041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6AL041-1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6AL041-1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6AL041-3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6AL041-3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照明配电箱  4AL032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numPr>
                <w:ilvl w:val="0"/>
                <w:numId w:val="10"/>
              </w:numPr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名称：照明配电箱 4AL032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3ALT021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3ALT021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356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3ALT02JYK-U1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3ALT02JYK-U1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照明配电箱 3ALT02JYK-1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1.名称：照明配电箱 3ALT02JYK-1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污水处理站配电箱 AL01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1.名称：污水处理站配电箱 AL01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2.型号：XXM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val="zh-CN" w:bidi="ar"/>
              </w:rPr>
              <w:t>3.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359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战时电力系统电源总配电箱 APZ1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1.名称：战时电力系统电源总配电箱 APZ1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战时电力系统电源总配电箱 APZ2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1.名称：战时电力系统电源总配电箱 APZ2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防护单元配电箱 ZAP1~ZAP4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1.名称：防护单元配电箱 ZAP1~ZAP4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防护单元配电箱 ZAP5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1.名称：防护单元配电箱 ZAP5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2.型号：XL-21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人防电站风机控制箱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DFJ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1.名称：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</w:rPr>
              <w:t>人防电站风机控制箱</w:t>
            </w: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 DFJ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254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战时防化值班室插座箱 ZAX1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1.名称:战时防化值班室插座箱 ZAX1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3.规格:详附件箱体分项表装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365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战时倾听水泵插座箱 ZAX2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1.名称:战时倾听水泵插座箱 ZAX2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366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战时移动排污水泵配电箱 ZYAC1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1.名称:战时移动排污水泵配电箱 ZYAC1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19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lastRenderedPageBreak/>
              <w:t>367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战时排风机控制箱 ZPF1~ZPF5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1.名称:战时排风机控制箱 ZPF1~ZPF5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368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战时排风机控制箱 ZSF1~ZSF5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1.名称:战时排风机控制箱 ZSF1~ZSF5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2.型号:XM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369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5KVA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1.名称:UPS电源柜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2.规格:5KVA-3小时 工频机，三进三出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370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15KVA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1.名称:UPS电源柜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2.规格:15KVA-1小时 工频机，三进三出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371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20KVA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1.名称:UPS电源柜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2.规格:20KVA-1小时 工频机，三进三出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372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60KVA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1.名称:UPS电源柜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2.规格:60KVA-1小时 工频机，三进三出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70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373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60KVA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 xml:space="preserve">1.名称:UPS电源柜 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2.规格:60KVA-1小时 工频机，模块化，三进单三出；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  <w:tr w:rsidR="00047E0A" w:rsidRPr="00047E0A" w:rsidTr="00317DAA">
        <w:trPr>
          <w:trHeight w:val="1182"/>
        </w:trPr>
        <w:tc>
          <w:tcPr>
            <w:tcW w:w="745" w:type="dxa"/>
            <w:tcBorders>
              <w:top w:val="nil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</w:pPr>
            <w:r w:rsidRPr="00047E0A">
              <w:rPr>
                <w:rFonts w:ascii="仿宋_GB2312" w:eastAsia="仿宋_GB2312" w:hAnsi="宋体" w:cs="仿宋_GB2312" w:hint="eastAsia"/>
                <w:snapToGrid w:val="0"/>
                <w:color w:val="000000"/>
                <w:kern w:val="0"/>
                <w:sz w:val="24"/>
                <w:szCs w:val="24"/>
                <w:lang w:bidi="ar"/>
              </w:rPr>
              <w:t>374</w:t>
            </w:r>
          </w:p>
        </w:tc>
        <w:tc>
          <w:tcPr>
            <w:tcW w:w="3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UPS电源柜 140KVA</w:t>
            </w:r>
          </w:p>
        </w:tc>
        <w:tc>
          <w:tcPr>
            <w:tcW w:w="3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1.名称:UPS电源柜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2.规格:140KVA-1小时 工频机，模块化，三进单三出；</w:t>
            </w:r>
          </w:p>
          <w:p w:rsidR="00047E0A" w:rsidRPr="00047E0A" w:rsidRDefault="00047E0A" w:rsidP="00047E0A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</w:pPr>
            <w:r w:rsidRPr="00047E0A">
              <w:rPr>
                <w:rFonts w:ascii="宋体" w:eastAsia="宋体" w:hAnsi="宋体" w:cs="宋体" w:hint="eastAsia"/>
                <w:b/>
                <w:bCs/>
                <w:snapToGrid w:val="0"/>
                <w:color w:val="000000"/>
                <w:kern w:val="0"/>
                <w:szCs w:val="21"/>
                <w:lang w:bidi="ar"/>
              </w:rPr>
              <w:t>3.规格:详附件箱体分项表</w:t>
            </w:r>
          </w:p>
        </w:tc>
        <w:tc>
          <w:tcPr>
            <w:tcW w:w="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</w:rPr>
            </w:pPr>
            <w:r w:rsidRPr="00047E0A">
              <w:rPr>
                <w:rFonts w:ascii="仿宋_GB2312" w:eastAsia="仿宋_GB2312" w:hAnsi="宋体" w:cs="仿宋_GB2312"/>
                <w:snapToGrid w:val="0"/>
                <w:color w:val="000000"/>
                <w:kern w:val="0"/>
                <w:sz w:val="24"/>
                <w:szCs w:val="24"/>
                <w:lang w:bidi="ar"/>
              </w:rPr>
              <w:t>台</w:t>
            </w:r>
          </w:p>
        </w:tc>
        <w:tc>
          <w:tcPr>
            <w:tcW w:w="7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widowControl/>
              <w:jc w:val="center"/>
              <w:textAlignment w:val="center"/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  <w:r w:rsidRPr="00047E0A">
              <w:rPr>
                <w:rFonts w:ascii="宋体" w:eastAsia="宋体" w:hAnsi="宋体" w:cs="宋体" w:hint="eastAsia"/>
                <w:snapToGrid w:val="0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88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47E0A" w:rsidRPr="00047E0A" w:rsidRDefault="00047E0A" w:rsidP="00047E0A">
            <w:pPr>
              <w:jc w:val="center"/>
              <w:rPr>
                <w:rFonts w:ascii="仿宋_GB2312" w:eastAsia="仿宋_GB2312" w:hAnsi="宋体" w:cs="仿宋_GB2312"/>
                <w:b/>
                <w:bCs/>
                <w:snapToGrid w:val="0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614" w:type="dxa"/>
            <w:tcBorders>
              <w:top w:val="double" w:sz="4" w:space="0" w:color="000000"/>
              <w:left w:val="nil"/>
              <w:bottom w:val="double" w:sz="4" w:space="0" w:color="000000"/>
              <w:right w:val="single" w:sz="12" w:space="0" w:color="000000"/>
            </w:tcBorders>
            <w:shd w:val="clear" w:color="auto" w:fill="auto"/>
            <w:noWrap/>
            <w:vAlign w:val="center"/>
          </w:tcPr>
          <w:p w:rsidR="00047E0A" w:rsidRPr="00047E0A" w:rsidRDefault="00047E0A" w:rsidP="00047E0A">
            <w:pPr>
              <w:rPr>
                <w:rFonts w:ascii="宋体" w:eastAsia="宋体" w:hAnsi="宋体" w:cs="宋体"/>
                <w:snapToGrid w:val="0"/>
                <w:color w:val="000000"/>
                <w:kern w:val="0"/>
                <w:sz w:val="22"/>
              </w:rPr>
            </w:pPr>
          </w:p>
        </w:tc>
      </w:tr>
    </w:tbl>
    <w:p w:rsidR="00047E0A" w:rsidRDefault="00047E0A" w:rsidP="00047E0A">
      <w:pPr>
        <w:jc w:val="left"/>
        <w:rPr>
          <w:rFonts w:ascii="仿宋_GB2312" w:eastAsia="仿宋_GB2312" w:cs="仿宋_GB2312"/>
          <w:szCs w:val="21"/>
        </w:rPr>
      </w:pPr>
      <w:r>
        <w:rPr>
          <w:rFonts w:ascii="仿宋_GB2312" w:eastAsia="仿宋_GB2312" w:hAnsi="宋体" w:cs="仿宋_GB2312" w:hint="eastAsia"/>
          <w:szCs w:val="21"/>
        </w:rPr>
        <w:t>说明：</w:t>
      </w:r>
      <w:r>
        <w:rPr>
          <w:rFonts w:ascii="仿宋_GB2312" w:eastAsia="仿宋_GB2312" w:cs="仿宋_GB2312" w:hint="eastAsia"/>
          <w:szCs w:val="21"/>
        </w:rPr>
        <w:t>1</w:t>
      </w:r>
      <w:r>
        <w:rPr>
          <w:rFonts w:ascii="仿宋_GB2312" w:eastAsia="仿宋_GB2312" w:hAnsi="宋体" w:cs="仿宋_GB2312" w:hint="eastAsia"/>
          <w:szCs w:val="21"/>
        </w:rPr>
        <w:t>.此表计划数量只做认价使用，最终实际工程量以最终结算为准。</w:t>
      </w:r>
    </w:p>
    <w:p w:rsidR="00047E0A" w:rsidRDefault="00047E0A" w:rsidP="00047E0A">
      <w:pPr>
        <w:spacing w:line="300" w:lineRule="auto"/>
        <w:rPr>
          <w:rFonts w:ascii="仿宋_GB2312" w:eastAsia="仿宋_GB2312" w:cs="仿宋_GB2312"/>
          <w:szCs w:val="21"/>
        </w:rPr>
      </w:pPr>
      <w:r>
        <w:rPr>
          <w:rFonts w:ascii="仿宋_GB2312" w:eastAsia="仿宋_GB2312" w:cs="仿宋_GB2312" w:hint="eastAsia"/>
          <w:szCs w:val="21"/>
        </w:rPr>
        <w:t>2.</w:t>
      </w:r>
      <w:r>
        <w:rPr>
          <w:rFonts w:ascii="仿宋_GB2312" w:eastAsia="仿宋_GB2312" w:hAnsi="宋体" w:cs="仿宋_GB2312" w:hint="eastAsia"/>
          <w:szCs w:val="21"/>
        </w:rPr>
        <w:t>材料报价均为材料的到场价（不含税），材料到场价包含出厂价、运杂费、运输损耗费，不含采购保管费和税金。</w:t>
      </w:r>
    </w:p>
    <w:p w:rsidR="00047E0A" w:rsidRDefault="00047E0A" w:rsidP="00047E0A">
      <w:pPr>
        <w:numPr>
          <w:ilvl w:val="0"/>
          <w:numId w:val="10"/>
        </w:numPr>
        <w:spacing w:line="300" w:lineRule="auto"/>
        <w:rPr>
          <w:rFonts w:ascii="仿宋_GB2312" w:eastAsia="仿宋_GB2312" w:cs="仿宋_GB2312"/>
          <w:szCs w:val="21"/>
        </w:rPr>
      </w:pPr>
      <w:r>
        <w:rPr>
          <w:rFonts w:ascii="仿宋_GB2312" w:eastAsia="仿宋_GB2312" w:cs="仿宋_GB2312" w:hint="eastAsia"/>
          <w:szCs w:val="21"/>
        </w:rPr>
        <w:t>配电箱明细表和电力系统图请打开下面的链接查看：</w:t>
      </w:r>
    </w:p>
    <w:bookmarkStart w:id="0" w:name="_GoBack"/>
    <w:p w:rsidR="00047E0A" w:rsidRDefault="00047E0A" w:rsidP="00047E0A">
      <w:pPr>
        <w:rPr>
          <w:bCs/>
          <w:sz w:val="24"/>
          <w:szCs w:val="24"/>
        </w:rPr>
      </w:pPr>
      <w:r>
        <w:rPr>
          <w:rFonts w:hint="eastAsia"/>
          <w:bCs/>
          <w:sz w:val="24"/>
          <w:szCs w:val="24"/>
        </w:rPr>
        <w:object w:dxaOrig="1440" w:dyaOrig="12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1in;height:64.5pt" o:ole="">
            <v:imagedata r:id="rId7" o:title=""/>
          </v:shape>
          <o:OLEObject Type="Embed" ProgID="Excel.Sheet.8" ShapeID="_x0000_i1034" DrawAspect="Icon" ObjectID="_1749645772" r:id="rId8"/>
        </w:object>
      </w:r>
      <w:bookmarkEnd w:id="0"/>
      <w:r>
        <w:rPr>
          <w:rFonts w:eastAsia="宋体" w:hint="eastAsia"/>
          <w:bCs/>
          <w:sz w:val="24"/>
          <w:szCs w:val="24"/>
        </w:rPr>
        <w:object w:dxaOrig="1452" w:dyaOrig="1308">
          <v:shape id="_x0000_i1025" type="#_x0000_t75" style="width:72.75pt;height:65.25pt" o:ole="">
            <v:imagedata r:id="rId9" o:title=""/>
          </v:shape>
          <o:OLEObject Type="Embed" ProgID="Package" ShapeID="_x0000_i1025" DrawAspect="Icon" ObjectID="_1749645773" r:id="rId10"/>
        </w:object>
      </w:r>
      <w:r>
        <w:rPr>
          <w:rFonts w:eastAsia="宋体" w:hint="eastAsia"/>
          <w:bCs/>
          <w:sz w:val="24"/>
          <w:szCs w:val="24"/>
        </w:rPr>
        <w:object w:dxaOrig="1452" w:dyaOrig="1308">
          <v:shape id="_x0000_i1026" type="#_x0000_t75" style="width:72.75pt;height:65.25pt" o:ole="">
            <v:imagedata r:id="rId11" o:title=""/>
          </v:shape>
          <o:OLEObject Type="Embed" ProgID="Package" ShapeID="_x0000_i1026" DrawAspect="Icon" ObjectID="_1749645774" r:id="rId12"/>
        </w:object>
      </w:r>
      <w:r>
        <w:rPr>
          <w:rFonts w:eastAsia="宋体" w:hint="eastAsia"/>
          <w:bCs/>
          <w:sz w:val="24"/>
          <w:szCs w:val="24"/>
        </w:rPr>
        <w:object w:dxaOrig="1452" w:dyaOrig="1308">
          <v:shape id="_x0000_i1027" type="#_x0000_t75" style="width:72.75pt;height:65.25pt" o:ole="">
            <v:imagedata r:id="rId13" o:title=""/>
          </v:shape>
          <o:OLEObject Type="Embed" ProgID="Package" ShapeID="_x0000_i1027" DrawAspect="Icon" ObjectID="_1749645775" r:id="rId14"/>
        </w:object>
      </w:r>
    </w:p>
    <w:p w:rsidR="00360DA8" w:rsidRDefault="00360DA8"/>
    <w:sectPr w:rsidR="00360DA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5174" w:rsidRDefault="001D5174" w:rsidP="00047E0A">
      <w:r>
        <w:separator/>
      </w:r>
    </w:p>
  </w:endnote>
  <w:endnote w:type="continuationSeparator" w:id="0">
    <w:p w:rsidR="001D5174" w:rsidRDefault="001D5174" w:rsidP="00047E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5174" w:rsidRDefault="001D5174" w:rsidP="00047E0A">
      <w:r>
        <w:separator/>
      </w:r>
    </w:p>
  </w:footnote>
  <w:footnote w:type="continuationSeparator" w:id="0">
    <w:p w:rsidR="001D5174" w:rsidRDefault="001D5174" w:rsidP="00047E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7472C1B"/>
    <w:multiLevelType w:val="singleLevel"/>
    <w:tmpl w:val="A7472C1B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B2ECBE27"/>
    <w:multiLevelType w:val="singleLevel"/>
    <w:tmpl w:val="B2ECBE27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BFC06ACC"/>
    <w:multiLevelType w:val="singleLevel"/>
    <w:tmpl w:val="BFC06AC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C0DDF278"/>
    <w:multiLevelType w:val="singleLevel"/>
    <w:tmpl w:val="C0DDF27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D2B81143"/>
    <w:multiLevelType w:val="singleLevel"/>
    <w:tmpl w:val="D2B81143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F2E8817A"/>
    <w:multiLevelType w:val="singleLevel"/>
    <w:tmpl w:val="F2E8817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2DC19ACE"/>
    <w:multiLevelType w:val="singleLevel"/>
    <w:tmpl w:val="2DC19ACE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 w15:restartNumberingAfterBreak="0">
    <w:nsid w:val="5AD791EC"/>
    <w:multiLevelType w:val="singleLevel"/>
    <w:tmpl w:val="5AD791EC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8" w15:restartNumberingAfterBreak="0">
    <w:nsid w:val="7327ED5A"/>
    <w:multiLevelType w:val="singleLevel"/>
    <w:tmpl w:val="7327ED5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9" w15:restartNumberingAfterBreak="0">
    <w:nsid w:val="799D800C"/>
    <w:multiLevelType w:val="singleLevel"/>
    <w:tmpl w:val="799D800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8"/>
  </w:num>
  <w:num w:numId="5">
    <w:abstractNumId w:val="2"/>
  </w:num>
  <w:num w:numId="6">
    <w:abstractNumId w:val="0"/>
  </w:num>
  <w:num w:numId="7">
    <w:abstractNumId w:val="5"/>
  </w:num>
  <w:num w:numId="8">
    <w:abstractNumId w:val="1"/>
  </w:num>
  <w:num w:numId="9">
    <w:abstractNumId w:val="6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7F21"/>
    <w:rsid w:val="00047E0A"/>
    <w:rsid w:val="001D5174"/>
    <w:rsid w:val="00360DA8"/>
    <w:rsid w:val="00B97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  <w15:docId w15:val="{DE12F99D-1143-4540-AD2D-B59B1BC1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iPriority="0" w:unhideWhenUsed="1" w:qFormat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qFormat/>
    <w:rsid w:val="00047E0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47E0A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47E0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47E0A"/>
    <w:rPr>
      <w:sz w:val="18"/>
      <w:szCs w:val="18"/>
    </w:rPr>
  </w:style>
  <w:style w:type="numbering" w:customStyle="1" w:styleId="1">
    <w:name w:val="无列表1"/>
    <w:next w:val="a2"/>
    <w:uiPriority w:val="99"/>
    <w:semiHidden/>
    <w:unhideWhenUsed/>
    <w:rsid w:val="00047E0A"/>
  </w:style>
  <w:style w:type="paragraph" w:styleId="HTML">
    <w:name w:val="HTML Preformatted"/>
    <w:basedOn w:val="a"/>
    <w:link w:val="HTML0"/>
    <w:uiPriority w:val="99"/>
    <w:unhideWhenUsed/>
    <w:qFormat/>
    <w:rsid w:val="00047E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eastAsia="宋体" w:hAnsi="Arial" w:cs="Arial"/>
      <w:snapToGrid w:val="0"/>
      <w:kern w:val="0"/>
      <w:sz w:val="24"/>
      <w:szCs w:val="24"/>
    </w:rPr>
  </w:style>
  <w:style w:type="character" w:customStyle="1" w:styleId="HTML0">
    <w:name w:val="HTML 预设格式 字符"/>
    <w:basedOn w:val="a0"/>
    <w:link w:val="HTML"/>
    <w:uiPriority w:val="99"/>
    <w:rsid w:val="00047E0A"/>
    <w:rPr>
      <w:rFonts w:ascii="Arial" w:eastAsia="宋体" w:hAnsi="Arial" w:cs="Arial"/>
      <w:snapToGrid w:val="0"/>
      <w:kern w:val="0"/>
      <w:sz w:val="24"/>
      <w:szCs w:val="24"/>
    </w:rPr>
  </w:style>
  <w:style w:type="paragraph" w:styleId="a7">
    <w:name w:val="Normal (Web)"/>
    <w:basedOn w:val="a"/>
    <w:qFormat/>
    <w:rsid w:val="00047E0A"/>
    <w:pPr>
      <w:spacing w:beforeAutospacing="1" w:afterAutospacing="1"/>
      <w:jc w:val="left"/>
    </w:pPr>
    <w:rPr>
      <w:rFonts w:ascii="宋体" w:eastAsia="宋体" w:hAnsi="宋体" w:cs="Times New Roman"/>
      <w:snapToGrid w:val="0"/>
      <w:kern w:val="0"/>
      <w:sz w:val="24"/>
    </w:rPr>
  </w:style>
  <w:style w:type="character" w:styleId="a8">
    <w:name w:val="Strong"/>
    <w:basedOn w:val="a0"/>
    <w:qFormat/>
    <w:rsid w:val="00047E0A"/>
    <w:rPr>
      <w:b/>
    </w:rPr>
  </w:style>
  <w:style w:type="character" w:styleId="a9">
    <w:name w:val="FollowedHyperlink"/>
    <w:basedOn w:val="a0"/>
    <w:qFormat/>
    <w:rsid w:val="00047E0A"/>
    <w:rPr>
      <w:color w:val="800080"/>
      <w:u w:val="single"/>
    </w:rPr>
  </w:style>
  <w:style w:type="character" w:styleId="aa">
    <w:name w:val="Hyperlink"/>
    <w:basedOn w:val="a0"/>
    <w:qFormat/>
    <w:rsid w:val="00047E0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Excel_97-2003____.xls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3888</Words>
  <Characters>22166</Characters>
  <Application>Microsoft Office Word</Application>
  <DocSecurity>0</DocSecurity>
  <Lines>184</Lines>
  <Paragraphs>52</Paragraphs>
  <ScaleCrop>false</ScaleCrop>
  <Company/>
  <LinksUpToDate>false</LinksUpToDate>
  <CharactersWithSpaces>26002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许靖</dc:creator>
  <cp:keywords/>
  <dc:description/>
  <cp:lastModifiedBy>许靖</cp:lastModifiedBy>
  <cp:revision>2</cp:revision>
  <dcterms:created xsi:type="dcterms:W3CDTF">2023-06-30T07:56:00Z</dcterms:created>
  <dcterms:modified xsi:type="dcterms:W3CDTF">2023-06-30T07:56:00Z</dcterms:modified>
</cp:coreProperties>
</file>